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160"/>
      </w:pPr>
      <w:r>
        <w:rPr>
          <w:strike w:val="0"/>
          <w:u w:val="none"/>
        </w:rPr>
        <w:drawing>
          <wp:inline>
            <wp:extent cx="5943600" cy="1152525"/>
            <wp:docPr id="100001" name=""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43600" cy="1152525"/>
                    </a:xfrm>
                    <a:prstGeom prst="rect">
                      <a:avLst/>
                    </a:prstGeom>
                  </pic:spPr>
                </pic:pic>
              </a:graphicData>
            </a:graphic>
          </wp:inline>
        </w:drawing>
      </w:r>
    </w:p>
    <w:p>
      <w:pPr>
        <w:spacing w:before="0" w:after="160"/>
        <w:jc w:val="both"/>
        <w:rPr>
          <w:sz w:val="28"/>
          <w:szCs w:val="28"/>
        </w:rPr>
      </w:pPr>
      <w:r>
        <w:rPr>
          <w:b/>
          <w:bCs/>
          <w:sz w:val="28"/>
          <w:szCs w:val="28"/>
        </w:rPr>
        <w:t>ASCE CI &amp; CRC Joint Conference 2026 Research Poster Session</w:t>
      </w:r>
    </w:p>
    <w:p>
      <w:pPr>
        <w:spacing w:before="0" w:after="160"/>
        <w:jc w:val="both"/>
      </w:pPr>
      <w:r>
        <w:t>The American Society of Civil Engineer's (ASCE) Construction Institute (CI) &amp; Construction Research Congress (CRC) Joint Conference 2026 is calling for extended abstracts to be selected for poster presentations. These extended abstracts will not be published or available in the conference proceedings. Titles and authors will be acknowledged in the conference program.</w:t>
      </w:r>
    </w:p>
    <w:p>
      <w:pPr>
        <w:spacing w:before="0" w:after="160"/>
        <w:jc w:val="both"/>
      </w:pPr>
      <w:r>
        <w:t>The theme for the CI and CRC Joint Summit 2026 is "Innovation through Collaboration". This unique event brings CI and CRC together, providing an opportunity to build on established connections and construct new ones in order to advance innovation and collaboration across the industry.</w:t>
      </w:r>
    </w:p>
    <w:p>
      <w:pPr>
        <w:spacing w:before="0" w:after="160"/>
        <w:jc w:val="both"/>
      </w:pPr>
      <w:r>
        <w:t>The poster topics should align with at least one of the following tracks:</w:t>
      </w:r>
    </w:p>
    <w:p>
      <w:pPr>
        <w:numPr>
          <w:ilvl w:val="0"/>
          <w:numId w:val="1"/>
        </w:numPr>
        <w:pBdr>
          <w:left w:val="none" w:sz="0" w:space="8" w:color="auto"/>
        </w:pBdr>
        <w:spacing w:before="0"/>
        <w:ind w:left="720" w:right="0" w:hanging="424"/>
        <w:jc w:val="both"/>
        <w:rPr>
          <w:rFonts w:ascii="Times New Roman" w:eastAsia="Times New Roman" w:hAnsi="Times New Roman" w:cs="Times New Roman"/>
          <w:sz w:val="20"/>
          <w:szCs w:val="20"/>
        </w:rPr>
      </w:pPr>
      <w:r>
        <w:rPr>
          <w:b/>
          <w:bCs/>
        </w:rPr>
        <w:t>Track 1:</w:t>
      </w:r>
      <w:r>
        <w:t xml:space="preserve"> Advanced Technologies, Artificial Intelligence, and Data Analytics in Construction</w:t>
      </w:r>
    </w:p>
    <w:p>
      <w:pPr>
        <w:numPr>
          <w:ilvl w:val="0"/>
          <w:numId w:val="1"/>
        </w:numPr>
        <w:pBdr>
          <w:left w:val="none" w:sz="0" w:space="8" w:color="auto"/>
        </w:pBdr>
        <w:ind w:left="720" w:right="0" w:hanging="424"/>
        <w:jc w:val="both"/>
        <w:rPr>
          <w:rFonts w:ascii="Times New Roman" w:eastAsia="Times New Roman" w:hAnsi="Times New Roman" w:cs="Times New Roman"/>
          <w:sz w:val="20"/>
          <w:szCs w:val="20"/>
        </w:rPr>
      </w:pPr>
      <w:r>
        <w:rPr>
          <w:b/>
          <w:bCs/>
        </w:rPr>
        <w:t>Track 2:</w:t>
      </w:r>
      <w:r>
        <w:t xml:space="preserve"> Automation and Robotics in Construction</w:t>
      </w:r>
    </w:p>
    <w:p>
      <w:pPr>
        <w:numPr>
          <w:ilvl w:val="0"/>
          <w:numId w:val="1"/>
        </w:numPr>
        <w:pBdr>
          <w:left w:val="none" w:sz="0" w:space="8" w:color="auto"/>
        </w:pBdr>
        <w:ind w:left="720" w:right="0" w:hanging="424"/>
        <w:jc w:val="both"/>
        <w:rPr>
          <w:rFonts w:ascii="Times New Roman" w:eastAsia="Times New Roman" w:hAnsi="Times New Roman" w:cs="Times New Roman"/>
          <w:sz w:val="20"/>
          <w:szCs w:val="20"/>
        </w:rPr>
      </w:pPr>
      <w:r>
        <w:rPr>
          <w:b/>
          <w:bCs/>
        </w:rPr>
        <w:t>Track 3:</w:t>
      </w:r>
      <w:r>
        <w:t xml:space="preserve"> Computer Applications, Information Modeling, and Simulation</w:t>
      </w:r>
    </w:p>
    <w:p>
      <w:pPr>
        <w:numPr>
          <w:ilvl w:val="0"/>
          <w:numId w:val="1"/>
        </w:numPr>
        <w:pBdr>
          <w:left w:val="none" w:sz="0" w:space="8" w:color="auto"/>
        </w:pBdr>
        <w:ind w:left="720" w:right="0" w:hanging="424"/>
        <w:jc w:val="both"/>
        <w:rPr>
          <w:rFonts w:ascii="Times New Roman" w:eastAsia="Times New Roman" w:hAnsi="Times New Roman" w:cs="Times New Roman"/>
          <w:sz w:val="20"/>
          <w:szCs w:val="20"/>
        </w:rPr>
      </w:pPr>
      <w:r>
        <w:rPr>
          <w:b/>
          <w:bCs/>
        </w:rPr>
        <w:t>Track 4:</w:t>
      </w:r>
      <w:r>
        <w:t xml:space="preserve"> Contracting, Project Delivery, Organizational Management, and Legal Issues</w:t>
      </w:r>
    </w:p>
    <w:p>
      <w:pPr>
        <w:numPr>
          <w:ilvl w:val="0"/>
          <w:numId w:val="1"/>
        </w:numPr>
        <w:pBdr>
          <w:left w:val="none" w:sz="0" w:space="8" w:color="auto"/>
        </w:pBdr>
        <w:ind w:left="720" w:right="0" w:hanging="424"/>
        <w:jc w:val="both"/>
        <w:rPr>
          <w:rFonts w:ascii="Times New Roman" w:eastAsia="Times New Roman" w:hAnsi="Times New Roman" w:cs="Times New Roman"/>
          <w:sz w:val="20"/>
          <w:szCs w:val="20"/>
        </w:rPr>
      </w:pPr>
      <w:r>
        <w:rPr>
          <w:b/>
          <w:bCs/>
        </w:rPr>
        <w:t>Track 5:</w:t>
      </w:r>
      <w:r>
        <w:t xml:space="preserve"> Construction Planning, Scheduling, Estimating, Economics, Quality and Value Engineering</w:t>
      </w:r>
    </w:p>
    <w:p>
      <w:pPr>
        <w:numPr>
          <w:ilvl w:val="0"/>
          <w:numId w:val="1"/>
        </w:numPr>
        <w:pBdr>
          <w:left w:val="none" w:sz="0" w:space="8" w:color="auto"/>
        </w:pBdr>
        <w:ind w:left="720" w:right="0" w:hanging="424"/>
        <w:jc w:val="both"/>
        <w:rPr>
          <w:rFonts w:ascii="Times New Roman" w:eastAsia="Times New Roman" w:hAnsi="Times New Roman" w:cs="Times New Roman"/>
          <w:sz w:val="20"/>
          <w:szCs w:val="20"/>
        </w:rPr>
      </w:pPr>
      <w:r>
        <w:rPr>
          <w:b/>
          <w:bCs/>
        </w:rPr>
        <w:t>Track 6:</w:t>
      </w:r>
      <w:r>
        <w:t xml:space="preserve"> Construction Education and Workforce Development</w:t>
      </w:r>
    </w:p>
    <w:p>
      <w:pPr>
        <w:numPr>
          <w:ilvl w:val="0"/>
          <w:numId w:val="1"/>
        </w:numPr>
        <w:pBdr>
          <w:left w:val="none" w:sz="0" w:space="8" w:color="auto"/>
        </w:pBdr>
        <w:ind w:left="720" w:right="0" w:hanging="424"/>
        <w:jc w:val="both"/>
        <w:rPr>
          <w:rFonts w:ascii="Times New Roman" w:eastAsia="Times New Roman" w:hAnsi="Times New Roman" w:cs="Times New Roman"/>
          <w:sz w:val="20"/>
          <w:szCs w:val="20"/>
        </w:rPr>
      </w:pPr>
      <w:r>
        <w:rPr>
          <w:b/>
          <w:bCs/>
        </w:rPr>
        <w:t>Track 7:</w:t>
      </w:r>
      <w:r>
        <w:t xml:space="preserve"> Health, Safety, and Wellbeing</w:t>
      </w:r>
    </w:p>
    <w:p>
      <w:pPr>
        <w:numPr>
          <w:ilvl w:val="0"/>
          <w:numId w:val="1"/>
        </w:numPr>
        <w:pBdr>
          <w:left w:val="none" w:sz="0" w:space="8" w:color="auto"/>
        </w:pBdr>
        <w:spacing w:after="160"/>
        <w:ind w:left="720" w:right="0" w:hanging="424"/>
        <w:jc w:val="both"/>
        <w:rPr>
          <w:rFonts w:ascii="Times New Roman" w:eastAsia="Times New Roman" w:hAnsi="Times New Roman" w:cs="Times New Roman"/>
          <w:sz w:val="20"/>
          <w:szCs w:val="20"/>
        </w:rPr>
      </w:pPr>
      <w:r>
        <w:rPr>
          <w:b/>
          <w:bCs/>
        </w:rPr>
        <w:t>Track 8:</w:t>
      </w:r>
      <w:r>
        <w:t xml:space="preserve"> Sustainable and Resilient Infrastructure Systems and Materials Engineering and Design</w:t>
      </w:r>
    </w:p>
    <w:p>
      <w:pPr>
        <w:spacing w:before="0" w:after="160"/>
        <w:jc w:val="both"/>
      </w:pPr>
      <w:r>
        <w:t>You will identify your requested Track within the submission of your extended abstract (per the provided template). Space is limited and not all submissions will be accepted. The conference planning committee will make the final review and acceptance decisions on the extended abstracts for posters. Posters will be considered according to the order in which they are submitted. Submissions are limited to one poster abstract per corresponding author; any additional submission by a corresponding author will not be considered.</w:t>
      </w:r>
    </w:p>
    <w:p>
      <w:pPr>
        <w:spacing w:before="0" w:after="160"/>
        <w:jc w:val="both"/>
        <w:rPr>
          <w:rFonts w:ascii="Aptos" w:eastAsia="Aptos" w:hAnsi="Aptos" w:cs="Aptos"/>
          <w:sz w:val="24"/>
          <w:szCs w:val="24"/>
        </w:rPr>
      </w:pPr>
    </w:p>
    <w:p>
      <w:pPr>
        <w:spacing w:before="0" w:after="160"/>
        <w:jc w:val="both"/>
      </w:pPr>
      <w:r>
        <w:rPr>
          <w:b/>
          <w:bCs/>
          <w:u w:val="single"/>
        </w:rPr>
        <w:t>Timeline:</w:t>
      </w:r>
    </w:p>
    <w:p>
      <w:pPr>
        <w:numPr>
          <w:ilvl w:val="0"/>
          <w:numId w:val="2"/>
        </w:numPr>
        <w:pBdr>
          <w:left w:val="none" w:sz="0" w:space="8" w:color="auto"/>
        </w:pBdr>
        <w:spacing w:before="0"/>
        <w:ind w:left="720" w:right="0" w:hanging="424"/>
        <w:jc w:val="both"/>
        <w:rPr>
          <w:rFonts w:ascii="Times New Roman" w:eastAsia="Times New Roman" w:hAnsi="Times New Roman" w:cs="Times New Roman"/>
          <w:sz w:val="20"/>
          <w:szCs w:val="20"/>
        </w:rPr>
      </w:pPr>
      <w:r>
        <w:t>Extended Abstracts for Posters Due: December 15</w:t>
      </w:r>
      <w:r>
        <w:rPr>
          <w:vertAlign w:val="superscript"/>
        </w:rPr>
        <w:t>th</w:t>
      </w:r>
      <w:r>
        <w:t>, 2025</w:t>
      </w:r>
    </w:p>
    <w:p>
      <w:pPr>
        <w:numPr>
          <w:ilvl w:val="0"/>
          <w:numId w:val="2"/>
        </w:numPr>
        <w:pBdr>
          <w:left w:val="none" w:sz="0" w:space="8" w:color="auto"/>
        </w:pBdr>
        <w:spacing w:after="160"/>
        <w:ind w:left="720" w:right="0" w:hanging="424"/>
        <w:jc w:val="both"/>
        <w:rPr>
          <w:rFonts w:ascii="Times New Roman" w:eastAsia="Times New Roman" w:hAnsi="Times New Roman" w:cs="Times New Roman"/>
          <w:sz w:val="20"/>
          <w:szCs w:val="20"/>
        </w:rPr>
      </w:pPr>
      <w:r>
        <w:t>Notification of Acceptance for Poster Presentations: January 15</w:t>
      </w:r>
      <w:r>
        <w:rPr>
          <w:vertAlign w:val="superscript"/>
        </w:rPr>
        <w:t>th</w:t>
      </w:r>
      <w:r>
        <w:t>, 2026</w:t>
      </w:r>
    </w:p>
    <w:p>
      <w:pPr>
        <w:spacing w:before="0" w:after="160"/>
        <w:jc w:val="both"/>
      </w:pPr>
      <w:r>
        <w:rPr>
          <w:b/>
          <w:bCs/>
          <w:u w:val="single"/>
        </w:rPr>
        <w:t>Extended Abstract Details:</w:t>
      </w:r>
    </w:p>
    <w:p>
      <w:pPr>
        <w:spacing w:before="0" w:after="160"/>
        <w:jc w:val="both"/>
      </w:pPr>
      <w:r>
        <w:t>Extended abstract submissions are limited to a maximum of 1,200 words (only including the introduction and body in the word count). Your extended abstract must follow the provided template and include the following parts, in the order listed:</w:t>
      </w:r>
    </w:p>
    <w:p>
      <w:pPr>
        <w:numPr>
          <w:ilvl w:val="0"/>
          <w:numId w:val="3"/>
        </w:numPr>
        <w:pBdr>
          <w:left w:val="none" w:sz="0" w:space="8" w:color="auto"/>
        </w:pBdr>
        <w:spacing w:before="0"/>
        <w:ind w:left="720" w:right="0" w:hanging="424"/>
        <w:jc w:val="both"/>
        <w:rPr>
          <w:rFonts w:ascii="Times New Roman" w:eastAsia="Times New Roman" w:hAnsi="Times New Roman" w:cs="Times New Roman"/>
          <w:sz w:val="20"/>
          <w:szCs w:val="20"/>
        </w:rPr>
      </w:pPr>
      <w:r>
        <w:t>Title</w:t>
      </w:r>
    </w:p>
    <w:p>
      <w:pPr>
        <w:numPr>
          <w:ilvl w:val="0"/>
          <w:numId w:val="3"/>
        </w:numPr>
        <w:pBdr>
          <w:left w:val="none" w:sz="0" w:space="8" w:color="auto"/>
        </w:pBdr>
        <w:ind w:left="720" w:right="0" w:hanging="424"/>
        <w:jc w:val="both"/>
        <w:rPr>
          <w:rFonts w:ascii="Times New Roman" w:eastAsia="Times New Roman" w:hAnsi="Times New Roman" w:cs="Times New Roman"/>
          <w:sz w:val="20"/>
          <w:szCs w:val="20"/>
        </w:rPr>
      </w:pPr>
      <w:r>
        <w:t>Author(s) with affiliation</w:t>
      </w:r>
    </w:p>
    <w:p>
      <w:pPr>
        <w:numPr>
          <w:ilvl w:val="0"/>
          <w:numId w:val="3"/>
        </w:numPr>
        <w:pBdr>
          <w:left w:val="none" w:sz="0" w:space="8" w:color="auto"/>
        </w:pBdr>
        <w:ind w:left="720" w:right="0" w:hanging="424"/>
        <w:jc w:val="both"/>
        <w:rPr>
          <w:rFonts w:ascii="Times New Roman" w:eastAsia="Times New Roman" w:hAnsi="Times New Roman" w:cs="Times New Roman"/>
          <w:sz w:val="20"/>
          <w:szCs w:val="20"/>
        </w:rPr>
      </w:pPr>
      <w:r>
        <w:t>Corresponding Author Information</w:t>
      </w:r>
    </w:p>
    <w:p>
      <w:pPr>
        <w:numPr>
          <w:ilvl w:val="0"/>
          <w:numId w:val="3"/>
        </w:numPr>
        <w:pBdr>
          <w:left w:val="none" w:sz="0" w:space="8" w:color="auto"/>
        </w:pBdr>
        <w:ind w:left="720" w:right="0" w:hanging="424"/>
        <w:jc w:val="both"/>
        <w:rPr>
          <w:rFonts w:ascii="Times New Roman" w:eastAsia="Times New Roman" w:hAnsi="Times New Roman" w:cs="Times New Roman"/>
          <w:sz w:val="20"/>
          <w:szCs w:val="20"/>
        </w:rPr>
      </w:pPr>
      <w:r>
        <w:t>Proposed Track</w:t>
      </w:r>
    </w:p>
    <w:p>
      <w:pPr>
        <w:numPr>
          <w:ilvl w:val="0"/>
          <w:numId w:val="3"/>
        </w:numPr>
        <w:pBdr>
          <w:left w:val="none" w:sz="0" w:space="8" w:color="auto"/>
        </w:pBdr>
        <w:ind w:left="720" w:right="0" w:hanging="424"/>
        <w:jc w:val="both"/>
        <w:rPr>
          <w:rFonts w:ascii="Times New Roman" w:eastAsia="Times New Roman" w:hAnsi="Times New Roman" w:cs="Times New Roman"/>
          <w:sz w:val="20"/>
          <w:szCs w:val="20"/>
        </w:rPr>
      </w:pPr>
      <w:r>
        <w:t>Word Count (include tables in word count but not graphics)</w:t>
      </w:r>
    </w:p>
    <w:p>
      <w:pPr>
        <w:numPr>
          <w:ilvl w:val="0"/>
          <w:numId w:val="3"/>
        </w:numPr>
        <w:pBdr>
          <w:left w:val="none" w:sz="0" w:space="8" w:color="auto"/>
        </w:pBdr>
        <w:ind w:left="720" w:right="0" w:hanging="424"/>
        <w:jc w:val="both"/>
        <w:rPr>
          <w:rFonts w:ascii="Times New Roman" w:eastAsia="Times New Roman" w:hAnsi="Times New Roman" w:cs="Times New Roman"/>
          <w:sz w:val="20"/>
          <w:szCs w:val="20"/>
        </w:rPr>
      </w:pPr>
      <w:r>
        <w:t>Introduction</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t>Body Text (including experimental methods, results, discussion, and next steps or future work)</w:t>
      </w:r>
    </w:p>
    <w:p>
      <w:pPr>
        <w:numPr>
          <w:ilvl w:val="0"/>
          <w:numId w:val="3"/>
        </w:numPr>
        <w:pBdr>
          <w:left w:val="none" w:sz="0" w:space="8" w:color="auto"/>
        </w:pBdr>
        <w:spacing w:after="160"/>
        <w:ind w:left="720" w:right="0" w:hanging="424"/>
        <w:jc w:val="both"/>
        <w:rPr>
          <w:rFonts w:ascii="Times New Roman" w:eastAsia="Times New Roman" w:hAnsi="Times New Roman" w:cs="Times New Roman"/>
          <w:sz w:val="20"/>
          <w:szCs w:val="20"/>
        </w:rPr>
      </w:pPr>
      <w:r>
        <w:t>References</w:t>
      </w:r>
    </w:p>
    <w:p>
      <w:pPr>
        <w:spacing w:before="0" w:after="160"/>
        <w:jc w:val="both"/>
      </w:pPr>
      <w:r>
        <w:rPr>
          <w:b/>
          <w:bCs/>
          <w:u w:val="single"/>
        </w:rPr>
        <w:t>Abstract Submission Details:</w:t>
      </w:r>
    </w:p>
    <w:p>
      <w:pPr>
        <w:spacing w:before="0" w:after="160"/>
        <w:jc w:val="both"/>
      </w:pPr>
      <w:r>
        <w:t xml:space="preserve">Use the </w:t>
      </w:r>
      <w:hyperlink r:id="rId5" w:history="1">
        <w:r>
          <w:rPr>
            <w:color w:val="467886"/>
            <w:u w:val="single" w:color="467886"/>
          </w:rPr>
          <w:t>abstract template</w:t>
        </w:r>
      </w:hyperlink>
      <w:r>
        <w:t xml:space="preserve"> to prepare the abstract. Convert the template to a PDF and save the abstract using the naming convention: </w:t>
      </w:r>
      <w:r>
        <w:rPr>
          <w:b/>
          <w:bCs/>
          <w:i/>
          <w:iCs/>
        </w:rPr>
        <w:t>Lastname.Firstname_2026CRC_Poster.PDF</w:t>
      </w:r>
    </w:p>
    <w:p>
      <w:pPr>
        <w:spacing w:before="0" w:after="160"/>
      </w:pPr>
      <w:r>
        <w:t>Submit the PDF file here: [</w:t>
      </w:r>
      <w:hyperlink r:id="rId6" w:history="1">
        <w:r>
          <w:rPr>
            <w:color w:val="467886"/>
            <w:u w:val="single" w:color="467886"/>
          </w:rPr>
          <w:t>https://forms.gle/vJa8qqy2UwPUgKAe8</w:t>
        </w:r>
      </w:hyperlink>
      <w:r>
        <w:t>]</w:t>
      </w:r>
    </w:p>
    <w:p>
      <w:pPr>
        <w:spacing w:before="0" w:after="160"/>
      </w:pPr>
      <w:r>
        <w:t>If there are any questions, email: Ashrant Aryal (</w:t>
      </w:r>
      <w:hyperlink r:id="rId7" w:history="1">
        <w:r>
          <w:rPr>
            <w:color w:val="467886"/>
            <w:u w:val="single" w:color="467886"/>
          </w:rPr>
          <w:t>ashrantaryal@tamu.edu</w:t>
        </w:r>
      </w:hyperlink>
      <w:r>
        <w:t>), and Tianzhi He (</w:t>
      </w:r>
      <w:hyperlink r:id="rId8" w:history="1">
        <w:r>
          <w:rPr>
            <w:color w:val="467886"/>
            <w:u w:val="single" w:color="467886"/>
          </w:rPr>
          <w:t>tianzhi.he@utsa.edu</w:t>
        </w:r>
      </w:hyperlink>
      <w:r>
        <w:t>)</w:t>
      </w:r>
    </w:p>
    <w:p>
      <w:pPr>
        <w:spacing w:before="0" w:after="160"/>
        <w:jc w:val="both"/>
      </w:pPr>
      <w:r>
        <w:rPr>
          <w:b/>
          <w:bCs/>
          <w:u w:val="single"/>
        </w:rPr>
        <w:t>Poster Session Details:</w:t>
      </w:r>
    </w:p>
    <w:p>
      <w:pPr>
        <w:spacing w:before="0" w:after="160"/>
        <w:jc w:val="both"/>
      </w:pPr>
      <w:r>
        <w:t>For presentation of the poster, at least one author must be stationed with their poster. It is the authors' responsibility to bring or arrange for the poster to arrive onsite. The poster should closely follow the poster template, be approximately 48 inches by 60 inches, and be of good print quality (specifically, use crisp graphics and legible fonts). No associated audio/visual devices can be used. Authors will be presented a number poster space (capable of accepting a poster 48 inches by 60 inches or smaller) and fasteners for mounting their poster on the provided board. Authors must remove their poster at the conclusion of their session.</w:t>
      </w:r>
    </w:p>
    <w:sectPr>
      <w:type w:val="nextPage"/>
      <w:pgSz w:w="12240" w:h="15840"/>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8" w:lineRule="auto"/>
    </w:pPr>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google.com/document/d/1kjcXFoL92cJfJ5ywocRA0n1L-IF7N3v5?rtpof=true&amp;usp=drive_fs" TargetMode="External" /><Relationship Id="rId6" Type="http://schemas.openxmlformats.org/officeDocument/2006/relationships/hyperlink" Target="https://forms.gle/vJa8qqy2UwPUgKAe8" TargetMode="External" /><Relationship Id="rId7" Type="http://schemas.openxmlformats.org/officeDocument/2006/relationships/hyperlink" Target="mailto:ashrantaryal@tamu.edu" TargetMode="External" /><Relationship Id="rId8" Type="http://schemas.openxmlformats.org/officeDocument/2006/relationships/hyperlink" Target="mailto:tianzhi.he@utsa.ed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